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</w:pPr>
      <w:r>
        <w:rPr>
          <w:rFonts w:hint="eastAsia"/>
          <w:lang w:val="en-US" w:eastAsia="zh-CN"/>
        </w:rPr>
        <w:t>团体标准</w:t>
      </w:r>
      <w:r>
        <w:rPr>
          <w:rFonts w:hint="eastAsia"/>
        </w:rPr>
        <w:t>征求意见处理表</w:t>
      </w:r>
    </w:p>
    <w:p/>
    <w:tbl>
      <w:tblPr>
        <w:tblStyle w:val="2"/>
        <w:tblW w:w="875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3259"/>
        <w:gridCol w:w="1844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标准</w:t>
            </w:r>
            <w:r>
              <w:rPr>
                <w:rFonts w:hint="eastAsia"/>
                <w:b/>
                <w:bCs/>
                <w:sz w:val="24"/>
                <w:szCs w:val="24"/>
              </w:rPr>
              <w:t>条款</w:t>
            </w:r>
          </w:p>
        </w:tc>
        <w:tc>
          <w:tcPr>
            <w:tcW w:w="3259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修改意见内容</w:t>
            </w:r>
          </w:p>
        </w:tc>
        <w:tc>
          <w:tcPr>
            <w:tcW w:w="184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意见提出单位</w:t>
            </w:r>
          </w:p>
        </w:tc>
        <w:tc>
          <w:tcPr>
            <w:tcW w:w="1672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意见处理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noWrap w:val="0"/>
            <w:vAlign w:val="top"/>
          </w:tcPr>
          <w:p>
            <w:pPr>
              <w:ind w:firstLine="0" w:firstLineChars="0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M2NhYTY0NTUyMTUwOThkYzkyZjRkNzI3NjAyMTQifQ=="/>
  </w:docVars>
  <w:rsids>
    <w:rsidRoot w:val="22A22841"/>
    <w:rsid w:val="22A2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302" w:firstLineChars="200"/>
      <w:jc w:val="both"/>
    </w:pPr>
    <w:rPr>
      <w:rFonts w:ascii="Times New Roman" w:hAnsi="Times New Roman" w:eastAsia="仿宋" w:cs="Times New Roman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2022-05-26T06:49:00Z</dcterms:created>
  <dc:creator>刘先生</dc:creator>
  <cp:lastModifiedBy>刘先生</cp:lastModifiedBy>
  <dcterms:modified xsi:type="dcterms:W3CDTF">2022-05-26T06:51:25Z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F1155B28FEA241BBBF92DDD4B60E437C</vt:lpwstr>
  </property>
</Properties>
</file>